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>Bewertung des Hochwasserrisikos auf der Grundlage von Schadenspotenzialen – Testweise Anwendung von Schadensfunktionen in repräsentativen Beispielsregionen</w:t>
      </w:r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H 4.20/21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der</w:t>
      </w:r>
      <w:bookmarkStart w:id="0" w:name="_GoBack"/>
      <w:bookmarkEnd w:id="0"/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geomer</w:t>
      </w:r>
      <w:proofErr w:type="spellEnd"/>
      <w:r>
        <w:rPr>
          <w:rFonts w:cs="Arial"/>
          <w:bCs/>
          <w:sz w:val="24"/>
          <w:szCs w:val="24"/>
        </w:rPr>
        <w:t xml:space="preserve"> GmbH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Im Breitspiel 11b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69126 Heidelberg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 der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RUIZ RODRIGUEZ + ZEISLER + BLANK, GbR 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Ingenieurgemeinschaft für Wasserbau und Wasserwirtschaft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Mühlhohle 2</w:t>
      </w:r>
    </w:p>
    <w:p>
      <w:pPr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65205 Wiesbaden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November 2020 – Juni 2021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2024-09-18T09:04:00Z</dcterms:created>
  <dcterms:modified xsi:type="dcterms:W3CDTF">2024-09-18T09:13:00Z</dcterms:modified>
</cp:coreProperties>
</file>