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>Umgang mit Zielkonflikten bei der Anpassung der Wasserwirtschaft an den Klimawandel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Projektphase 2: Recherche, Dokumentation, Durchführung von Workshops</w:t>
      </w:r>
      <w:r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(Teil 2)“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K 1.21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IKU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Olpe 39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44135 Dortmund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2021 – September 2021</w:t>
      </w:r>
      <w:bookmarkStart w:id="0" w:name="_GoBack"/>
      <w:bookmarkEnd w:id="0"/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2024-09-18T11:19:00Z</dcterms:created>
  <dcterms:modified xsi:type="dcterms:W3CDTF">2024-09-18T11:22:00Z</dcterms:modified>
</cp:coreProperties>
</file>