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Information nach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§ 30 Abs. 1 der Unterschwellenvergabeordnung (</w:t>
      </w:r>
      <w:proofErr w:type="spellStart"/>
      <w:r>
        <w:rPr>
          <w:b/>
          <w:sz w:val="24"/>
          <w:szCs w:val="24"/>
        </w:rPr>
        <w:t>UVgO</w:t>
      </w:r>
      <w:proofErr w:type="spellEnd"/>
      <w:r>
        <w:rPr>
          <w:b/>
          <w:sz w:val="24"/>
          <w:szCs w:val="24"/>
        </w:rPr>
        <w:t>) vom 07. Februar 2017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über die Verhandlungsvergabe ohne Teilnahmewettbewerb für das Projekt </w:t>
      </w:r>
    </w:p>
    <w:p>
      <w:pPr>
        <w:rPr>
          <w:sz w:val="24"/>
          <w:szCs w:val="24"/>
        </w:rPr>
      </w:pPr>
      <w:bookmarkStart w:id="0" w:name="_GoBack"/>
      <w:bookmarkEnd w:id="0"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-ES"/>
        </w:rPr>
        <w:t>„Optimierung des Fließgewässer-Bewertungsverfahrens für Makrozoobenthos (Perlodes)“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mit der Projekt-Nr. O 4.22</w:t>
      </w:r>
    </w:p>
    <w:p/>
    <w:p>
      <w:pPr>
        <w:rPr>
          <w:sz w:val="24"/>
          <w:szCs w:val="24"/>
        </w:rPr>
      </w:pPr>
      <w:r>
        <w:rPr>
          <w:sz w:val="24"/>
          <w:szCs w:val="24"/>
        </w:rPr>
        <w:t xml:space="preserve">Name und Anschrift des Auftraggebers und dessen Beschaffungsstelle: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Ministerium für Klimaschutz, Landwirtschaft, ländliche Räume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und Umwelt Mecklenburg-Vorpommern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Geschäftsstelle des Länderfinanzierungsprogramms „Wasser, Boden und Abfall“</w:t>
      </w:r>
    </w:p>
    <w:p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Paulshöher</w:t>
      </w:r>
      <w:proofErr w:type="spellEnd"/>
      <w:r>
        <w:rPr>
          <w:sz w:val="24"/>
          <w:szCs w:val="24"/>
        </w:rPr>
        <w:t xml:space="preserve"> Weg 1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19061 Schwerin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Name des beauftragten Unternehmens:</w:t>
      </w:r>
    </w:p>
    <w:p>
      <w:pPr>
        <w:rPr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Bietergemeinschaft, bestehend aus der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Universität Duisburg-Essen</w:t>
      </w:r>
    </w:p>
    <w:p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Abteilung Aquatische Ökologie</w:t>
      </w:r>
    </w:p>
    <w:p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Universitätsstr. 2 in Essen</w:t>
      </w:r>
    </w:p>
    <w:p>
      <w:pPr>
        <w:rPr>
          <w:rFonts w:cs="Arial"/>
          <w:bCs/>
          <w:sz w:val="24"/>
          <w:szCs w:val="24"/>
        </w:rPr>
      </w:pPr>
    </w:p>
    <w:p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und</w:t>
      </w:r>
    </w:p>
    <w:p>
      <w:pPr>
        <w:rPr>
          <w:rFonts w:cs="Arial"/>
          <w:bCs/>
          <w:sz w:val="24"/>
          <w:szCs w:val="24"/>
        </w:rPr>
      </w:pPr>
    </w:p>
    <w:p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IRV-Software</w:t>
      </w:r>
    </w:p>
    <w:p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Ing. Robert Vogl</w:t>
      </w:r>
    </w:p>
    <w:p>
      <w:pPr>
        <w:rPr>
          <w:rFonts w:cs="Arial"/>
          <w:bCs/>
          <w:sz w:val="24"/>
          <w:szCs w:val="24"/>
        </w:rPr>
      </w:pPr>
      <w:proofErr w:type="spellStart"/>
      <w:r>
        <w:rPr>
          <w:rFonts w:cs="Arial"/>
          <w:bCs/>
          <w:sz w:val="24"/>
          <w:szCs w:val="24"/>
        </w:rPr>
        <w:t>Breitenfurterstrasse</w:t>
      </w:r>
      <w:proofErr w:type="spellEnd"/>
      <w:r>
        <w:rPr>
          <w:rFonts w:cs="Arial"/>
          <w:bCs/>
          <w:sz w:val="24"/>
          <w:szCs w:val="24"/>
        </w:rPr>
        <w:t xml:space="preserve"> 107-109/3/17 in Wien</w:t>
      </w:r>
    </w:p>
    <w:p>
      <w:pPr>
        <w:rPr>
          <w:rFonts w:cs="Arial"/>
          <w:bCs/>
          <w:sz w:val="24"/>
          <w:szCs w:val="24"/>
        </w:rPr>
      </w:pPr>
    </w:p>
    <w:p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und</w:t>
      </w:r>
    </w:p>
    <w:p>
      <w:pPr>
        <w:rPr>
          <w:rFonts w:cs="Arial"/>
          <w:bCs/>
          <w:sz w:val="24"/>
          <w:szCs w:val="24"/>
        </w:rPr>
      </w:pPr>
    </w:p>
    <w:p>
      <w:pPr>
        <w:rPr>
          <w:rFonts w:cs="Arial"/>
          <w:bCs/>
          <w:sz w:val="24"/>
          <w:szCs w:val="24"/>
        </w:rPr>
      </w:pPr>
      <w:proofErr w:type="spellStart"/>
      <w:r>
        <w:rPr>
          <w:rFonts w:cs="Arial"/>
          <w:bCs/>
          <w:sz w:val="24"/>
          <w:szCs w:val="24"/>
        </w:rPr>
        <w:t>umweltbüro</w:t>
      </w:r>
      <w:proofErr w:type="spellEnd"/>
      <w:r>
        <w:rPr>
          <w:rFonts w:cs="Arial"/>
          <w:bCs/>
          <w:sz w:val="24"/>
          <w:szCs w:val="24"/>
        </w:rPr>
        <w:t xml:space="preserve"> essen Bolle &amp; Partner GbR</w:t>
      </w:r>
    </w:p>
    <w:p>
      <w:pPr>
        <w:rPr>
          <w:sz w:val="24"/>
          <w:szCs w:val="24"/>
        </w:rPr>
      </w:pPr>
      <w:proofErr w:type="spellStart"/>
      <w:r>
        <w:rPr>
          <w:rFonts w:cs="Arial"/>
          <w:bCs/>
          <w:sz w:val="24"/>
          <w:szCs w:val="24"/>
        </w:rPr>
        <w:t>Rellinghauser</w:t>
      </w:r>
      <w:proofErr w:type="spellEnd"/>
      <w:r>
        <w:rPr>
          <w:rFonts w:cs="Arial"/>
          <w:bCs/>
          <w:sz w:val="24"/>
          <w:szCs w:val="24"/>
        </w:rPr>
        <w:t xml:space="preserve"> Str. 334F in Essen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Verfahrensart: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Verhandlungsvergabe ohne Teilnahmewettbewerb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Art und Umfang der Leistung: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Forschungs- und Entwicklungsvorhaben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Zeitraum der Leistungserbringung: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August 2022 – Juli 2023</w:t>
      </w:r>
    </w:p>
    <w:sectPr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E851C-E810-4A0E-870A-29936E95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qFormat/>
    <w:pPr>
      <w:keepNext/>
      <w:widowControl w:val="0"/>
      <w:tabs>
        <w:tab w:val="left" w:pos="2127"/>
      </w:tabs>
      <w:jc w:val="both"/>
      <w:outlineLvl w:val="5"/>
    </w:pPr>
    <w:rPr>
      <w:b/>
      <w:bCs/>
      <w:spacing w:val="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hAnsi="Arial"/>
      <w:b/>
      <w:bCs/>
      <w:spacing w:val="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 M-V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VI-400e</dc:creator>
  <cp:lastModifiedBy>VI-440d (Frau Heusler)</cp:lastModifiedBy>
  <cp:revision>3</cp:revision>
  <dcterms:created xsi:type="dcterms:W3CDTF">2024-09-18T12:16:00Z</dcterms:created>
  <dcterms:modified xsi:type="dcterms:W3CDTF">2024-09-18T12:21:00Z</dcterms:modified>
</cp:coreProperties>
</file>